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32" w:rsidRPr="00D0125F" w:rsidRDefault="00D0125F" w:rsidP="00D0125F">
      <w:pPr>
        <w:pStyle w:val="ListParagraph"/>
        <w:numPr>
          <w:ilvl w:val="0"/>
          <w:numId w:val="1"/>
        </w:numPr>
      </w:pPr>
      <w:r w:rsidRPr="00D0125F">
        <w:rPr>
          <w:b/>
        </w:rPr>
        <w:t>DEFINITION</w:t>
      </w:r>
      <w:r>
        <w:t xml:space="preserve">: All Student Growth Objectives (SGO’s) must be </w:t>
      </w:r>
      <w:r w:rsidR="00FB1A3D" w:rsidRPr="00D0125F">
        <w:t>annual goal</w:t>
      </w:r>
      <w:r>
        <w:t>s</w:t>
      </w:r>
      <w:r w:rsidR="00FB1A3D" w:rsidRPr="00D0125F">
        <w:t xml:space="preserve"> for the achievement of </w:t>
      </w:r>
      <w:r>
        <w:t>a specified group of</w:t>
      </w:r>
      <w:r w:rsidR="00FB1A3D" w:rsidRPr="00D0125F">
        <w:t xml:space="preserve"> students on a specific assessment(s)</w:t>
      </w:r>
      <w:r w:rsidR="00FA7BF0">
        <w:t xml:space="preserve">.  These goals can be </w:t>
      </w:r>
      <w:r w:rsidR="00FC5341">
        <w:t xml:space="preserve">based on </w:t>
      </w:r>
      <w:r w:rsidR="00FA7BF0">
        <w:t>e</w:t>
      </w:r>
      <w:r w:rsidR="00FC5341">
        <w:t>ither growth or mastery targets</w:t>
      </w:r>
      <w:r w:rsidR="00FA7BF0">
        <w:t>.</w:t>
      </w:r>
    </w:p>
    <w:p w:rsidR="00BD2548" w:rsidRDefault="00D0125F" w:rsidP="00D0125F">
      <w:pPr>
        <w:pStyle w:val="ListParagraph"/>
        <w:numPr>
          <w:ilvl w:val="0"/>
          <w:numId w:val="1"/>
        </w:numPr>
      </w:pPr>
      <w:r>
        <w:t>All SGO’s must be written in SMART format:</w:t>
      </w:r>
    </w:p>
    <w:p w:rsidR="000C1332" w:rsidRPr="00D0125F" w:rsidRDefault="00FB1A3D" w:rsidP="00D0125F">
      <w:pPr>
        <w:pStyle w:val="ListParagraph"/>
        <w:numPr>
          <w:ilvl w:val="1"/>
          <w:numId w:val="1"/>
        </w:numPr>
      </w:pPr>
      <w:r w:rsidRPr="00D0125F">
        <w:rPr>
          <w:b/>
          <w:bCs/>
        </w:rPr>
        <w:t>S</w:t>
      </w:r>
      <w:r w:rsidRPr="00D0125F">
        <w:t xml:space="preserve">pecific </w:t>
      </w:r>
    </w:p>
    <w:p w:rsidR="000C1332" w:rsidRPr="00D0125F" w:rsidRDefault="00FB1A3D" w:rsidP="00D0125F">
      <w:pPr>
        <w:pStyle w:val="ListParagraph"/>
        <w:numPr>
          <w:ilvl w:val="1"/>
          <w:numId w:val="1"/>
        </w:numPr>
      </w:pPr>
      <w:r w:rsidRPr="00D0125F">
        <w:rPr>
          <w:b/>
          <w:bCs/>
        </w:rPr>
        <w:t>M</w:t>
      </w:r>
      <w:r w:rsidRPr="00D0125F">
        <w:t>easureable</w:t>
      </w:r>
    </w:p>
    <w:p w:rsidR="000C1332" w:rsidRPr="00D0125F" w:rsidRDefault="00FB1A3D" w:rsidP="00D0125F">
      <w:pPr>
        <w:pStyle w:val="ListParagraph"/>
        <w:numPr>
          <w:ilvl w:val="1"/>
          <w:numId w:val="1"/>
        </w:numPr>
      </w:pPr>
      <w:r w:rsidRPr="00D0125F">
        <w:rPr>
          <w:b/>
          <w:bCs/>
        </w:rPr>
        <w:t>A</w:t>
      </w:r>
      <w:r w:rsidRPr="00D0125F">
        <w:t>ppropriate</w:t>
      </w:r>
    </w:p>
    <w:p w:rsidR="000C1332" w:rsidRPr="00D0125F" w:rsidRDefault="00FB1A3D" w:rsidP="00D0125F">
      <w:pPr>
        <w:pStyle w:val="ListParagraph"/>
        <w:numPr>
          <w:ilvl w:val="1"/>
          <w:numId w:val="1"/>
        </w:numPr>
      </w:pPr>
      <w:r w:rsidRPr="00D0125F">
        <w:rPr>
          <w:b/>
          <w:bCs/>
        </w:rPr>
        <w:t>R</w:t>
      </w:r>
      <w:r w:rsidRPr="00D0125F">
        <w:t>ealistic</w:t>
      </w:r>
    </w:p>
    <w:p w:rsidR="000C1332" w:rsidRPr="00D0125F" w:rsidRDefault="00FB1A3D" w:rsidP="00D0125F">
      <w:pPr>
        <w:pStyle w:val="ListParagraph"/>
        <w:numPr>
          <w:ilvl w:val="1"/>
          <w:numId w:val="1"/>
        </w:numPr>
      </w:pPr>
      <w:r w:rsidRPr="00D0125F">
        <w:rPr>
          <w:b/>
          <w:bCs/>
        </w:rPr>
        <w:t>T</w:t>
      </w:r>
      <w:r w:rsidRPr="00D0125F">
        <w:t>ime-bounded</w:t>
      </w:r>
    </w:p>
    <w:p w:rsidR="004F59C0" w:rsidRPr="00AF0038" w:rsidRDefault="00D0125F" w:rsidP="004F59C0">
      <w:pPr>
        <w:pStyle w:val="ListParagraph"/>
        <w:numPr>
          <w:ilvl w:val="0"/>
          <w:numId w:val="1"/>
        </w:numPr>
      </w:pPr>
      <w:r w:rsidRPr="00D0125F">
        <w:rPr>
          <w:b/>
        </w:rPr>
        <w:t>EXAMPLE:</w:t>
      </w:r>
      <w:r>
        <w:rPr>
          <w:b/>
        </w:rPr>
        <w:t xml:space="preserve"> </w:t>
      </w:r>
      <w:r w:rsidR="004F59C0" w:rsidRPr="004F59C0">
        <w:rPr>
          <w:i/>
          <w:iCs/>
        </w:rPr>
        <w:t xml:space="preserve">By May of 2014, </w:t>
      </w:r>
      <w:r w:rsidR="00142013">
        <w:rPr>
          <w:i/>
          <w:iCs/>
        </w:rPr>
        <w:t>all</w:t>
      </w:r>
      <w:r w:rsidR="004F59C0" w:rsidRPr="004F59C0">
        <w:rPr>
          <w:i/>
          <w:iCs/>
        </w:rPr>
        <w:t xml:space="preserve"> student’s *lexile level will increase by an average of 20% </w:t>
      </w:r>
    </w:p>
    <w:p w:rsidR="00AF0038" w:rsidRDefault="00AF0038" w:rsidP="00FA7BF0">
      <w:pPr>
        <w:pStyle w:val="ListParagraph"/>
        <w:numPr>
          <w:ilvl w:val="0"/>
          <w:numId w:val="1"/>
        </w:numPr>
      </w:pPr>
      <w:r>
        <w:t>All SGO’s must:</w:t>
      </w:r>
    </w:p>
    <w:p w:rsidR="000C1332" w:rsidRDefault="004F59C0" w:rsidP="004F59C0">
      <w:pPr>
        <w:pStyle w:val="ListParagraph"/>
        <w:numPr>
          <w:ilvl w:val="1"/>
          <w:numId w:val="1"/>
        </w:numPr>
      </w:pPr>
      <w:r>
        <w:t>B</w:t>
      </w:r>
      <w:r w:rsidR="00FB1A3D" w:rsidRPr="004F59C0">
        <w:t>e based on one specific course</w:t>
      </w:r>
    </w:p>
    <w:p w:rsidR="00FA7BF0" w:rsidRDefault="00142013" w:rsidP="004F59C0">
      <w:pPr>
        <w:pStyle w:val="ListParagraph"/>
        <w:numPr>
          <w:ilvl w:val="1"/>
          <w:numId w:val="1"/>
        </w:numPr>
      </w:pPr>
      <w:r>
        <w:t xml:space="preserve">Be based on </w:t>
      </w:r>
      <w:r w:rsidR="00FA7BF0">
        <w:t>formal or informal baseline data</w:t>
      </w:r>
    </w:p>
    <w:p w:rsidR="000C1332" w:rsidRPr="004F59C0" w:rsidRDefault="004F59C0" w:rsidP="004F59C0">
      <w:pPr>
        <w:pStyle w:val="ListParagraph"/>
        <w:numPr>
          <w:ilvl w:val="1"/>
          <w:numId w:val="1"/>
        </w:numPr>
      </w:pPr>
      <w:r>
        <w:t>U</w:t>
      </w:r>
      <w:r w:rsidR="00FB1A3D" w:rsidRPr="004F59C0">
        <w:t>se assessments that can be administered and graded by May 1st</w:t>
      </w:r>
    </w:p>
    <w:p w:rsidR="000C1332" w:rsidRPr="004F59C0" w:rsidRDefault="004F59C0" w:rsidP="004F59C0">
      <w:pPr>
        <w:pStyle w:val="ListParagraph"/>
        <w:numPr>
          <w:ilvl w:val="1"/>
          <w:numId w:val="1"/>
        </w:numPr>
      </w:pPr>
      <w:r>
        <w:t>B</w:t>
      </w:r>
      <w:r w:rsidR="00FB1A3D" w:rsidRPr="004F59C0">
        <w:t>e framed for “all students” rather than a percentage</w:t>
      </w:r>
      <w:r>
        <w:t xml:space="preserve"> of a student group</w:t>
      </w:r>
    </w:p>
    <w:p w:rsidR="004F59C0" w:rsidRDefault="004F59C0" w:rsidP="004F59C0">
      <w:pPr>
        <w:pStyle w:val="ListParagraph"/>
        <w:numPr>
          <w:ilvl w:val="0"/>
          <w:numId w:val="1"/>
        </w:numPr>
      </w:pPr>
      <w:r w:rsidRPr="004F59C0">
        <w:t>Multiple teachers cannot have different SGO’s that revolve around the same course</w:t>
      </w:r>
    </w:p>
    <w:p w:rsidR="00FA7BF0" w:rsidRDefault="00FA7BF0" w:rsidP="004F59C0">
      <w:pPr>
        <w:pStyle w:val="ListParagraph"/>
        <w:numPr>
          <w:ilvl w:val="0"/>
          <w:numId w:val="1"/>
        </w:numPr>
      </w:pPr>
      <w:r>
        <w:t>All teachers are required to create two SGO’s</w:t>
      </w:r>
      <w:r w:rsidR="00D258C8">
        <w:t xml:space="preserve">.  In cases where a teacher has multiple “Preps,” it is possible that some courses will not be covered by any SGO.  In these cases, the </w:t>
      </w:r>
      <w:r w:rsidR="00FC5341">
        <w:t xml:space="preserve">NJDOE advises that the </w:t>
      </w:r>
      <w:r w:rsidR="00D258C8">
        <w:t>two SGO’s should cover, at least, the majority of total students assigned to that teacher.</w:t>
      </w:r>
    </w:p>
    <w:p w:rsidR="00744D60" w:rsidRDefault="00744D60" w:rsidP="004F59C0">
      <w:pPr>
        <w:pStyle w:val="ListParagraph"/>
        <w:numPr>
          <w:ilvl w:val="0"/>
          <w:numId w:val="1"/>
        </w:numPr>
      </w:pPr>
      <w:r>
        <w:t>In cases where a teacher teaches courses that run for a period of less than a full school year (i.e. semester or trimester), they can:</w:t>
      </w:r>
    </w:p>
    <w:p w:rsidR="00744D60" w:rsidRDefault="00744D60" w:rsidP="00744D60">
      <w:pPr>
        <w:pStyle w:val="ListParagraph"/>
        <w:numPr>
          <w:ilvl w:val="1"/>
          <w:numId w:val="1"/>
        </w:numPr>
      </w:pPr>
      <w:r>
        <w:t>Select other courses in their course load that do run a full year for their SGO’s</w:t>
      </w:r>
    </w:p>
    <w:p w:rsidR="00744D60" w:rsidRDefault="00744D60" w:rsidP="00744D60">
      <w:pPr>
        <w:pStyle w:val="ListParagraph"/>
        <w:numPr>
          <w:ilvl w:val="1"/>
          <w:numId w:val="1"/>
        </w:numPr>
      </w:pPr>
      <w:r>
        <w:t>Set both SGO’s for the first semester</w:t>
      </w:r>
    </w:p>
    <w:p w:rsidR="00744D60" w:rsidRDefault="00744D60" w:rsidP="00744D60">
      <w:pPr>
        <w:pStyle w:val="ListParagraph"/>
        <w:numPr>
          <w:ilvl w:val="1"/>
          <w:numId w:val="1"/>
        </w:numPr>
      </w:pPr>
      <w:r>
        <w:t xml:space="preserve">Set one SGO for the first and the other for the second </w:t>
      </w:r>
      <w:r w:rsidR="00FC5341">
        <w:t xml:space="preserve">semester </w:t>
      </w:r>
      <w:r>
        <w:t>(with the assessment data for the second completed before May 1</w:t>
      </w:r>
      <w:r w:rsidRPr="00744D60">
        <w:rPr>
          <w:vertAlign w:val="superscript"/>
        </w:rPr>
        <w:t>st</w:t>
      </w:r>
      <w:r>
        <w:t>).</w:t>
      </w:r>
    </w:p>
    <w:p w:rsidR="00744D60" w:rsidRDefault="00A431BB" w:rsidP="00744D60">
      <w:pPr>
        <w:pStyle w:val="ListParagraph"/>
        <w:numPr>
          <w:ilvl w:val="1"/>
          <w:numId w:val="1"/>
        </w:numPr>
      </w:pPr>
      <w:r>
        <w:t>In the case of trimesters, one SGO could be set for the 2</w:t>
      </w:r>
      <w:r w:rsidRPr="00A431BB">
        <w:rPr>
          <w:vertAlign w:val="superscript"/>
        </w:rPr>
        <w:t>nd</w:t>
      </w:r>
      <w:r w:rsidR="00FC5341">
        <w:t xml:space="preserve"> </w:t>
      </w:r>
      <w:r w:rsidR="0030206C">
        <w:t>trimester</w:t>
      </w:r>
      <w:r>
        <w:t xml:space="preserve"> and the other for the 3</w:t>
      </w:r>
      <w:r w:rsidRPr="00A431BB">
        <w:rPr>
          <w:vertAlign w:val="superscript"/>
        </w:rPr>
        <w:t>rd</w:t>
      </w:r>
      <w:r>
        <w:t xml:space="preserve"> tri</w:t>
      </w:r>
      <w:r w:rsidR="00FC5341">
        <w:t>mester</w:t>
      </w:r>
      <w:r>
        <w:t>.  If need be, both SGO’s could be set for either the 2</w:t>
      </w:r>
      <w:r w:rsidRPr="00A431BB">
        <w:rPr>
          <w:vertAlign w:val="superscript"/>
        </w:rPr>
        <w:t>nd</w:t>
      </w:r>
      <w:r>
        <w:t xml:space="preserve"> or the 3</w:t>
      </w:r>
      <w:r w:rsidRPr="00A431BB">
        <w:rPr>
          <w:vertAlign w:val="superscript"/>
        </w:rPr>
        <w:t>rd</w:t>
      </w:r>
      <w:r>
        <w:t>.</w:t>
      </w:r>
    </w:p>
    <w:p w:rsidR="00FA7BF0" w:rsidRDefault="00755CE0" w:rsidP="004F59C0">
      <w:pPr>
        <w:pStyle w:val="ListParagraph"/>
        <w:numPr>
          <w:ilvl w:val="0"/>
          <w:numId w:val="1"/>
        </w:numPr>
      </w:pPr>
      <w:r>
        <w:t xml:space="preserve">By </w:t>
      </w:r>
      <w:r w:rsidR="00A72B5D">
        <w:rPr>
          <w:highlight w:val="yellow"/>
        </w:rPr>
        <w:t>**Oct. 15</w:t>
      </w:r>
      <w:r w:rsidR="00FA7BF0" w:rsidRPr="00755CE0">
        <w:rPr>
          <w:highlight w:val="yellow"/>
          <w:vertAlign w:val="superscript"/>
        </w:rPr>
        <w:t>th</w:t>
      </w:r>
      <w:r w:rsidR="00A72B5D">
        <w:t xml:space="preserve">, </w:t>
      </w:r>
      <w:r w:rsidR="00FA7BF0">
        <w:t xml:space="preserve">all teachers must have the </w:t>
      </w:r>
      <w:r w:rsidR="00A72B5D">
        <w:t>BCTS SGO Approval Form</w:t>
      </w:r>
      <w:r w:rsidR="00FA7BF0">
        <w:t xml:space="preserve"> completed and signed by their assigned SGO administrator:</w:t>
      </w:r>
    </w:p>
    <w:p w:rsidR="008576EF" w:rsidRPr="004F59C0" w:rsidRDefault="008576EF" w:rsidP="008576EF">
      <w:pPr>
        <w:pStyle w:val="ListParagraph"/>
        <w:numPr>
          <w:ilvl w:val="0"/>
          <w:numId w:val="1"/>
        </w:numPr>
      </w:pPr>
      <w:r>
        <w:t>In cases where a teacher and their assigned SGO administrator cannot agree on an approvable SGO, the administrator will consult the building principal who will have the final say.</w:t>
      </w:r>
    </w:p>
    <w:p w:rsidR="00D0125F" w:rsidRDefault="00620329" w:rsidP="00620329">
      <w:pPr>
        <w:pStyle w:val="ListParagraph"/>
        <w:numPr>
          <w:ilvl w:val="0"/>
          <w:numId w:val="1"/>
        </w:numPr>
      </w:pPr>
      <w:r w:rsidRPr="00620329">
        <w:t xml:space="preserve">Any revision in a teacher’s SGO must be submitted for approval (in consultation with their assigned SGO admin) to the </w:t>
      </w:r>
      <w:r>
        <w:t>Assistant Superintendent for Curriculum and Instruction no later than ***Feb. 1</w:t>
      </w:r>
      <w:r w:rsidRPr="00620329">
        <w:rPr>
          <w:vertAlign w:val="superscript"/>
        </w:rPr>
        <w:t>st</w:t>
      </w:r>
      <w:r>
        <w:t>.</w:t>
      </w:r>
    </w:p>
    <w:p w:rsidR="009B2DC1" w:rsidRDefault="009B2DC1" w:rsidP="009B2DC1">
      <w:pPr>
        <w:rPr>
          <w:b/>
        </w:rPr>
      </w:pPr>
    </w:p>
    <w:sectPr w:rsidR="009B2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A1" w:rsidRDefault="006666A1" w:rsidP="006666A1">
      <w:pPr>
        <w:spacing w:after="0" w:line="240" w:lineRule="auto"/>
      </w:pPr>
      <w:r>
        <w:separator/>
      </w:r>
    </w:p>
  </w:endnote>
  <w:endnote w:type="continuationSeparator" w:id="0">
    <w:p w:rsidR="006666A1" w:rsidRDefault="006666A1" w:rsidP="0066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B5D" w:rsidRDefault="00A72B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C0" w:rsidRPr="009A41D8" w:rsidRDefault="004F59C0" w:rsidP="004F59C0">
    <w:pPr>
      <w:pStyle w:val="ListParagraph"/>
      <w:numPr>
        <w:ilvl w:val="0"/>
        <w:numId w:val="1"/>
      </w:numPr>
      <w:rPr>
        <w:i/>
      </w:rPr>
    </w:pPr>
    <w:r w:rsidRPr="009A41D8">
      <w:rPr>
        <w:i/>
      </w:rPr>
      <w:t>*Lexile level is a measure of the Scholastic Reading Inventory (SRI)</w:t>
    </w:r>
  </w:p>
  <w:p w:rsidR="00FA7BF0" w:rsidRPr="009A41D8" w:rsidRDefault="00A72B5D" w:rsidP="004F59C0">
    <w:pPr>
      <w:pStyle w:val="ListParagraph"/>
      <w:numPr>
        <w:ilvl w:val="0"/>
        <w:numId w:val="1"/>
      </w:numPr>
      <w:rPr>
        <w:i/>
      </w:rPr>
    </w:pPr>
    <w:r>
      <w:rPr>
        <w:i/>
      </w:rPr>
      <w:t xml:space="preserve">**Oct. </w:t>
    </w:r>
    <w:r>
      <w:rPr>
        <w:i/>
      </w:rPr>
      <w:t>31st</w:t>
    </w:r>
    <w:bookmarkStart w:id="0" w:name="_GoBack"/>
    <w:bookmarkEnd w:id="0"/>
    <w:r w:rsidR="00FA7BF0" w:rsidRPr="009A41D8">
      <w:rPr>
        <w:i/>
      </w:rPr>
      <w:t xml:space="preserve"> is the NJDOE’s final deadline.  Teachers will meet with their assigned SGO admin sometime before that date to complete final approval of their SGO</w:t>
    </w:r>
  </w:p>
  <w:p w:rsidR="00620329" w:rsidRPr="009A41D8" w:rsidRDefault="00620329" w:rsidP="004F59C0">
    <w:pPr>
      <w:pStyle w:val="ListParagraph"/>
      <w:numPr>
        <w:ilvl w:val="0"/>
        <w:numId w:val="1"/>
      </w:numPr>
      <w:rPr>
        <w:i/>
      </w:rPr>
    </w:pPr>
    <w:r w:rsidRPr="009A41D8">
      <w:rPr>
        <w:i/>
      </w:rPr>
      <w:t>***Feb. 15</w:t>
    </w:r>
    <w:r w:rsidRPr="009A41D8">
      <w:rPr>
        <w:i/>
        <w:vertAlign w:val="superscript"/>
      </w:rPr>
      <w:t>th</w:t>
    </w:r>
    <w:r w:rsidRPr="009A41D8">
      <w:rPr>
        <w:i/>
      </w:rPr>
      <w:t xml:space="preserve"> is the NJDOE deadline for the Superintendent to app</w:t>
    </w:r>
    <w:r w:rsidR="009A41D8" w:rsidRPr="009A41D8">
      <w:rPr>
        <w:i/>
      </w:rPr>
      <w:t>rove any SGO revisions</w:t>
    </w:r>
  </w:p>
  <w:p w:rsidR="004F59C0" w:rsidRDefault="004F5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B5D" w:rsidRDefault="00A72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A1" w:rsidRDefault="006666A1" w:rsidP="006666A1">
      <w:pPr>
        <w:spacing w:after="0" w:line="240" w:lineRule="auto"/>
      </w:pPr>
      <w:r>
        <w:separator/>
      </w:r>
    </w:p>
  </w:footnote>
  <w:footnote w:type="continuationSeparator" w:id="0">
    <w:p w:rsidR="006666A1" w:rsidRDefault="006666A1" w:rsidP="0066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B5D" w:rsidRDefault="00A72B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A1" w:rsidRDefault="006666A1" w:rsidP="006666A1">
    <w:pPr>
      <w:jc w:val="center"/>
      <w:rPr>
        <w:b/>
        <w:sz w:val="28"/>
        <w:szCs w:val="28"/>
      </w:rPr>
    </w:pPr>
    <w:r>
      <w:rPr>
        <w:b/>
        <w:sz w:val="28"/>
        <w:szCs w:val="28"/>
      </w:rPr>
      <w:t>BCTS District SGO Guidelines</w:t>
    </w:r>
  </w:p>
  <w:p w:rsidR="006666A1" w:rsidRDefault="006666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B5D" w:rsidRDefault="00A72B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6DB"/>
    <w:multiLevelType w:val="hybridMultilevel"/>
    <w:tmpl w:val="7D8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12783"/>
    <w:multiLevelType w:val="hybridMultilevel"/>
    <w:tmpl w:val="112C4686"/>
    <w:lvl w:ilvl="0" w:tplc="D5440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4C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E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40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24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C9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AF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82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2B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812FCF"/>
    <w:multiLevelType w:val="hybridMultilevel"/>
    <w:tmpl w:val="A97A42B2"/>
    <w:lvl w:ilvl="0" w:tplc="33F82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42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4E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0A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03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44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4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E1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6E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2F2C8B"/>
    <w:multiLevelType w:val="hybridMultilevel"/>
    <w:tmpl w:val="02CA56B6"/>
    <w:lvl w:ilvl="0" w:tplc="06D2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A1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2A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27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4F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C3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C8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4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4D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CD7891"/>
    <w:multiLevelType w:val="hybridMultilevel"/>
    <w:tmpl w:val="1F0A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1"/>
    <w:rsid w:val="000C1332"/>
    <w:rsid w:val="00142013"/>
    <w:rsid w:val="001A41D3"/>
    <w:rsid w:val="0030206C"/>
    <w:rsid w:val="004F59C0"/>
    <w:rsid w:val="00620329"/>
    <w:rsid w:val="006666A1"/>
    <w:rsid w:val="00744D60"/>
    <w:rsid w:val="00755CE0"/>
    <w:rsid w:val="008576EF"/>
    <w:rsid w:val="009A41D8"/>
    <w:rsid w:val="009B2DC1"/>
    <w:rsid w:val="00A431BB"/>
    <w:rsid w:val="00A72B5D"/>
    <w:rsid w:val="00AF0038"/>
    <w:rsid w:val="00BD2548"/>
    <w:rsid w:val="00D0125F"/>
    <w:rsid w:val="00D258C8"/>
    <w:rsid w:val="00FA7BF0"/>
    <w:rsid w:val="00FB1A3D"/>
    <w:rsid w:val="00F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D52CB-5134-40F9-B101-5BA5F88B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A1"/>
  </w:style>
  <w:style w:type="paragraph" w:styleId="Footer">
    <w:name w:val="footer"/>
    <w:basedOn w:val="Normal"/>
    <w:link w:val="FooterChar"/>
    <w:uiPriority w:val="99"/>
    <w:unhideWhenUsed/>
    <w:rsid w:val="00666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A1"/>
  </w:style>
  <w:style w:type="paragraph" w:styleId="BalloonText">
    <w:name w:val="Balloon Text"/>
    <w:basedOn w:val="Normal"/>
    <w:link w:val="BalloonTextChar"/>
    <w:uiPriority w:val="99"/>
    <w:semiHidden/>
    <w:unhideWhenUsed/>
    <w:rsid w:val="0066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2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6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2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Panicucci_Richard</dc:creator>
  <cp:lastModifiedBy>Panicucci_Richard</cp:lastModifiedBy>
  <cp:revision>3</cp:revision>
  <cp:lastPrinted>2013-08-12T13:45:00Z</cp:lastPrinted>
  <dcterms:created xsi:type="dcterms:W3CDTF">2014-08-22T15:14:00Z</dcterms:created>
  <dcterms:modified xsi:type="dcterms:W3CDTF">2015-08-07T19:51:00Z</dcterms:modified>
</cp:coreProperties>
</file>